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18" w:rsidRPr="003E1E18" w:rsidRDefault="003E1E18" w:rsidP="003E1E18">
      <w:pPr>
        <w:shd w:val="clear" w:color="auto" w:fill="FFFFFF"/>
        <w:spacing w:beforeAutospacing="1" w:after="100" w:afterAutospacing="1" w:line="240" w:lineRule="atLeast"/>
        <w:outlineLvl w:val="1"/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</w:pPr>
      <w:proofErr w:type="spellStart"/>
      <w:r w:rsidRPr="003E1E18"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  <w:t>Présentation</w:t>
      </w:r>
      <w:proofErr w:type="spellEnd"/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Kerberos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est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un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protocole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AAA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issu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projet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« Athena » du MIT (Massachusetts Institute of Technology). Pour plus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d’information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sur le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principe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AAA, je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vous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invite à lire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l’article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« </w:t>
      </w:r>
      <w:hyperlink r:id="rId6" w:tooltip="AAA : Authentication Authorization Accounting" w:history="1">
        <w:r w:rsidRPr="003E1E18">
          <w:rPr>
            <w:rFonts w:ascii="Open Sans" w:eastAsia="Times New Roman" w:hAnsi="Open Sans" w:cs="Open Sans"/>
            <w:color w:val="F58233"/>
            <w:sz w:val="21"/>
            <w:szCs w:val="21"/>
            <w:lang w:val="en-US" w:eastAsia="fr-FR"/>
          </w:rPr>
          <w:t>AAA Authentication Authorization Accounting</w:t>
        </w:r>
      </w:hyperlink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 ». Son nom « Kerberos »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vient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mythologie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grecque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correspond au nom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chien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trois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têtes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gardien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portes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d’Hadès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porte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relativement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bien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son nom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puisqu’il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chargé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d’authentifier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d’autoriser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surveiller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utilisateurs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voulant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accéder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aux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ressources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services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votre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agit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chien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garde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contre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intrus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vos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services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protocole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Kerberos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été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normalisé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dans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sa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version 5 par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l’IETF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dans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RFC 1510 (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septembre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1993) et RFC 1964 (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juin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1996).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standard qui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résout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nombreux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problèmes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sécurité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d’administration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et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productivité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dans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des clients et des services au sein d’un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effet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kerberos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introduit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principe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Single Sign-On (SSO).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Ainsi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avec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unique,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aura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tous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services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Pour plus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d’information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sur le SSO je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vous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invite à lire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l’article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« </w:t>
      </w:r>
      <w:hyperlink r:id="rId7" w:tooltip="SSO : Single Sign On Késako ?" w:history="1">
        <w:r w:rsidRPr="003E1E18">
          <w:rPr>
            <w:rFonts w:ascii="Open Sans" w:eastAsia="Times New Roman" w:hAnsi="Open Sans" w:cs="Open Sans"/>
            <w:color w:val="F58233"/>
            <w:sz w:val="21"/>
            <w:szCs w:val="21"/>
            <w:lang w:val="en-US" w:eastAsia="fr-FR"/>
          </w:rPr>
          <w:t xml:space="preserve">SSO </w:t>
        </w:r>
        <w:proofErr w:type="spellStart"/>
        <w:proofErr w:type="gramStart"/>
        <w:r w:rsidRPr="003E1E18">
          <w:rPr>
            <w:rFonts w:ascii="Open Sans" w:eastAsia="Times New Roman" w:hAnsi="Open Sans" w:cs="Open Sans"/>
            <w:color w:val="F58233"/>
            <w:sz w:val="21"/>
            <w:szCs w:val="21"/>
            <w:lang w:val="en-US" w:eastAsia="fr-FR"/>
          </w:rPr>
          <w:t>Késako</w:t>
        </w:r>
        <w:proofErr w:type="spellEnd"/>
        <w:r w:rsidRPr="003E1E18">
          <w:rPr>
            <w:rFonts w:ascii="Open Sans" w:eastAsia="Times New Roman" w:hAnsi="Open Sans" w:cs="Open Sans"/>
            <w:color w:val="F58233"/>
            <w:sz w:val="21"/>
            <w:szCs w:val="21"/>
            <w:lang w:val="en-US" w:eastAsia="fr-FR"/>
          </w:rPr>
          <w:t> ?</w:t>
        </w:r>
        <w:proofErr w:type="gramEnd"/>
      </w:hyperlink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 ».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couronner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tout,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l’avantage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d’être compatible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aussi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bien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avec les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systèmes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libres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que les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systèmes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propriétaires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Tout bon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administrateur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maintenant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se demander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sécurisé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Car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confier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SSO à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protocole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faillible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signer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l’arrêt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mort de son infrastructure. Au lieu de me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croire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sur parole, je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vous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invite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comprendre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son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fonctionnement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juger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par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vous-même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Kerberos se base sur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tierce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partie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confiance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gérer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le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KDC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(Key Distribution Center).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Tous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utilisateurs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services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font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confiance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cette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tierce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partie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réaliser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sécurité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Kerberos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utilise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mécanisme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chiffrement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basé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sur des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algorithmes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clef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symétrique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Chaque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sujet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service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secrète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partagée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avec le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KDC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Kerberos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utilise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système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ticket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réaliser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introduit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principe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SSO (Single Sign On).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s’authentifie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sur le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KDC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puis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utilise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ticket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s’authentifier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chaque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demandé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ne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transmet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jamais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son mot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passe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service.</w:t>
      </w:r>
      <w:proofErr w:type="gramEnd"/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lastRenderedPageBreak/>
        <w:t xml:space="preserve">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protocole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Kerberos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sépare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rôle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KDC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deux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services :</w:t>
      </w:r>
      <w:proofErr w:type="gramEnd"/>
    </w:p>
    <w:p w:rsidR="003E1E18" w:rsidRPr="003E1E18" w:rsidRDefault="003E1E18" w:rsidP="003E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AS (Authentication Service</w:t>
      </w:r>
      <w:proofErr w:type="gram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) 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: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Il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s’agit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service sur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lequel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s’authentifie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délivre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un TGT (Ticket Granting Ticket)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cas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réussie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Ce ticket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est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fait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demande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TGS.</w:t>
      </w:r>
    </w:p>
    <w:p w:rsidR="003E1E18" w:rsidRPr="003E1E18" w:rsidRDefault="003E1E18" w:rsidP="003E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TGS (Ticket Granting Service</w:t>
      </w:r>
      <w:proofErr w:type="gram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) 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: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servir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fourni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tickets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aux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différents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services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On les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appelle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TS (Ticket Service).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Le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principe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fonctionnement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général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simple.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s’authentifie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auprès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(le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vigile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).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Celui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-ci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lui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donne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un ticket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prouvant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qu’il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(un badge).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se rend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auprès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service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gestion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des tickets.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demande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un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service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fichiers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par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exemple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Grâce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badge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donné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par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vigile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service de ticket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sait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que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bien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va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donc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lui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remettre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un ticket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service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fichier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peut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maintenant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aller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voir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service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fichier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avec son ticket.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lui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donnera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aux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ressources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correspondantes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ses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autorisations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</w:pPr>
      <w:proofErr w:type="spellStart"/>
      <w:r w:rsidRPr="003E1E18"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  <w:t>Fonctionnement</w:t>
      </w:r>
      <w:proofErr w:type="spellEnd"/>
      <w:r w:rsidRPr="003E1E18"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  <w:t>détaillé</w:t>
      </w:r>
      <w:proofErr w:type="spellEnd"/>
      <w:r w:rsidRPr="003E1E18"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  <w:t xml:space="preserve"> de Kerberos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Maintenant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détaillons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ce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processus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afin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bien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comprendre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mécanismes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sécurité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Kerberos.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Note :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Le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chiffrement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sera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noté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comme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suit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Kclé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{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partie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chiffrée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par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}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240" w:lineRule="atLeast"/>
        <w:outlineLvl w:val="4"/>
        <w:rPr>
          <w:rFonts w:ascii="Open Sans" w:eastAsia="Times New Roman" w:hAnsi="Open Sans" w:cs="Open Sans"/>
          <w:color w:val="333333"/>
          <w:sz w:val="24"/>
          <w:szCs w:val="24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color w:val="333333"/>
          <w:sz w:val="24"/>
          <w:szCs w:val="24"/>
          <w:lang w:val="en-US" w:eastAsia="fr-FR"/>
        </w:rPr>
        <w:t>Notation :</w:t>
      </w:r>
      <w:proofErr w:type="gramEnd"/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AS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: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: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délivrant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des tickets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aux services.</w:t>
      </w:r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TGT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: Ticket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TGS.</w:t>
      </w:r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: Ticket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demandé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spell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: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secrète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connu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TGS.</w:t>
      </w:r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spell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Kservice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: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secrète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demandé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connu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service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TGS.</w:t>
      </w:r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spellStart"/>
      <w:proofErr w:type="gram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Ktgs</w:t>
      </w:r>
      <w:proofErr w:type="spellEnd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 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: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secrète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TGS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connu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TGS et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spellStart"/>
      <w:proofErr w:type="gram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KsessionTGS</w:t>
      </w:r>
      <w:proofErr w:type="spellEnd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 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: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session entre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le TGS.</w:t>
      </w:r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spell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Ksession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: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secrète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session entre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demandé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spellStart"/>
      <w:proofErr w:type="gram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TicketService</w:t>
      </w:r>
      <w:proofErr w:type="spellEnd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 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: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Ticket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demandé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240" w:lineRule="atLeast"/>
        <w:outlineLvl w:val="4"/>
        <w:rPr>
          <w:rFonts w:ascii="Open Sans" w:eastAsia="Times New Roman" w:hAnsi="Open Sans" w:cs="Open Sans"/>
          <w:color w:val="333333"/>
          <w:sz w:val="24"/>
          <w:szCs w:val="24"/>
          <w:lang w:val="en-US" w:eastAsia="fr-FR"/>
        </w:rPr>
      </w:pPr>
      <w:proofErr w:type="spellStart"/>
      <w:proofErr w:type="gramStart"/>
      <w:r w:rsidRPr="003E1E18">
        <w:rPr>
          <w:rFonts w:ascii="Open Sans" w:eastAsia="Times New Roman" w:hAnsi="Open Sans" w:cs="Open Sans"/>
          <w:color w:val="333333"/>
          <w:sz w:val="24"/>
          <w:szCs w:val="24"/>
          <w:lang w:val="en-US" w:eastAsia="fr-FR"/>
        </w:rPr>
        <w:t>Fonctionnement</w:t>
      </w:r>
      <w:proofErr w:type="spellEnd"/>
      <w:r w:rsidRPr="003E1E18">
        <w:rPr>
          <w:rFonts w:ascii="Open Sans" w:eastAsia="Times New Roman" w:hAnsi="Open Sans" w:cs="Open Sans"/>
          <w:color w:val="333333"/>
          <w:sz w:val="24"/>
          <w:szCs w:val="24"/>
          <w:lang w:val="en-US" w:eastAsia="fr-FR"/>
        </w:rPr>
        <w:t> :</w:t>
      </w:r>
      <w:proofErr w:type="gramEnd"/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>
        <w:rPr>
          <w:rFonts w:ascii="Open Sans" w:eastAsia="Times New Roman" w:hAnsi="Open Sans" w:cs="Open Sans"/>
          <w:noProof/>
          <w:color w:val="666666"/>
          <w:sz w:val="21"/>
          <w:szCs w:val="21"/>
          <w:lang w:eastAsia="fr-FR"/>
        </w:rPr>
        <w:lastRenderedPageBreak/>
        <w:drawing>
          <wp:inline distT="0" distB="0" distL="0" distR="0">
            <wp:extent cx="5716905" cy="6130290"/>
            <wp:effectExtent l="0" t="0" r="0" b="3810"/>
            <wp:docPr id="8" name="Image 8" descr="Kerberos shéma résum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beros shéma résum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1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[1]     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s’authentifie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entrant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couple login/password (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généralement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l’ouverture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session sur la machine). Le client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kerberos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la machine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dérive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l’aide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d’un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algorithme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hash le mot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passe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secrète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Le client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kerberos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va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maintenant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contacter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AS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envoie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cela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l’identité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(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clair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)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ainsi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que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 xml:space="preserve"> 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{message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définie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dans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protocole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kerberos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timestamp}.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n’aura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pas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renouveler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son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durant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plusieurs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heures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(variable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selon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réglages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).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Remarque :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Le mot de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passe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n’est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pas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transmis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à travers le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sert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uniquement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générer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De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même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servira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chiffrer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partie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du message </w:t>
      </w: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ne sera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jamais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lastRenderedPageBreak/>
        <w:t>transmise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à travers le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n’y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a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donc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pas de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possibilité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d’interception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Seule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compromission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de la machine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cliente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ou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brute force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peut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permettre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personne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malveillante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récupérer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ces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informations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lastRenderedPageBreak/>
        <w:t> </w:t>
      </w:r>
      <w:r>
        <w:rPr>
          <w:rFonts w:ascii="Open Sans" w:eastAsia="Times New Roman" w:hAnsi="Open Sans" w:cs="Open Sans"/>
          <w:i/>
          <w:iCs/>
          <w:noProof/>
          <w:color w:val="F58233"/>
          <w:sz w:val="21"/>
          <w:szCs w:val="21"/>
          <w:lang w:eastAsia="fr-FR"/>
        </w:rPr>
        <w:drawing>
          <wp:inline distT="0" distB="0" distL="0" distR="0">
            <wp:extent cx="5677535" cy="9756140"/>
            <wp:effectExtent l="0" t="0" r="0" b="0"/>
            <wp:docPr id="7" name="Image 7" descr="Kerberos shéma résumé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beros shéma résumé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lastRenderedPageBreak/>
        <w:t>[2]       L’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AS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lit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l’identité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(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envoyé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clair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). L’AS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connait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mot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passe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car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lui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qui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gère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base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données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peut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donc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obtenir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Grâce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va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déchiffrer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message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envoyé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par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Si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fois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celui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-ci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déchiffré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correspond,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qu’il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bien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été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chiffré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avec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 L’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AS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vérifie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ensuite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timestamp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éviter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tout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rejeu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AS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retourne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maintenant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client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{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 xml:space="preserve">TGT,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KsessionTGS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}.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-à-dire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Ticket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TGT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session entre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le TGS, le tout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chiffré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par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secrète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pour que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personne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n’ait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informations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Remarque :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Kutilisateur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n’est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connu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que du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serveur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et du client et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n’a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jamais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été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communiqué à travers le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  <w:proofErr w:type="spellStart"/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Cette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communication ne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peut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donc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être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lue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par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aucune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tierce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partie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malveillante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.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>
        <w:rPr>
          <w:rFonts w:ascii="Open Sans" w:eastAsia="Times New Roman" w:hAnsi="Open Sans" w:cs="Open Sans"/>
          <w:noProof/>
          <w:color w:val="F58233"/>
          <w:sz w:val="21"/>
          <w:szCs w:val="21"/>
          <w:lang w:eastAsia="fr-FR"/>
        </w:rPr>
        <w:lastRenderedPageBreak/>
        <w:drawing>
          <wp:inline distT="0" distB="0" distL="0" distR="0">
            <wp:extent cx="5716905" cy="6177915"/>
            <wp:effectExtent l="0" t="0" r="0" b="0"/>
            <wp:docPr id="6" name="Image 6" descr="Kerberos shéma résumé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rberos shéma résumé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1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[3]     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déchiffre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réponse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AS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récupère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TGT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session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communiquer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avec le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Le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 xml:space="preserve">TGT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un ticket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contenant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trois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éléments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chiffrés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avec </w:t>
      </w:r>
      <w:proofErr w:type="spellStart"/>
      <w:proofErr w:type="gram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Ktgs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 :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date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d’expiration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le nom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KsessionTGS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Donc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TGT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=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Ktgs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{date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d’expiration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nom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KsessionTGS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}.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envoie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</w:t>
      </w:r>
      <w:proofErr w:type="gram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 :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TGT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un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KsessionTGS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{timestamp} (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permet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d’assurer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l’unicité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requête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antirejeu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)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ainsi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que le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auquel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souhaite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accéder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Cet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envoi correspond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demande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un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donné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Remarque :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le </w:t>
      </w: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TGT</w:t>
      </w:r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n’est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pas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lisible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par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puisqu’il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est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chiffré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avec la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secrète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Ktgs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connue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uniquement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l’</w:t>
      </w: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AS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et du </w:t>
      </w: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>
        <w:rPr>
          <w:rFonts w:ascii="Open Sans" w:eastAsia="Times New Roman" w:hAnsi="Open Sans" w:cs="Open Sans"/>
          <w:noProof/>
          <w:color w:val="F58233"/>
          <w:sz w:val="21"/>
          <w:szCs w:val="21"/>
          <w:lang w:eastAsia="fr-FR"/>
        </w:rPr>
        <w:lastRenderedPageBreak/>
        <w:drawing>
          <wp:inline distT="0" distB="0" distL="0" distR="0">
            <wp:extent cx="5716905" cy="8619490"/>
            <wp:effectExtent l="0" t="0" r="0" b="0"/>
            <wp:docPr id="5" name="Image 5" descr="Kerberos shéma résumé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rberos shéma résumé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61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lastRenderedPageBreak/>
        <w:t xml:space="preserve">[4]       Grâce au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TGT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le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connait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l’identité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sujet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session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utiliser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chiffrer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communication avec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vérifie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grâce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KsessionTGS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valeur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timestamp (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permet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d’éviter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rejeu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de signer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quelque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sorte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requête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).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fonction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des droits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sujet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va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accepter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ou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refuser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demande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service.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Dans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cas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où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sujet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possède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droits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service, le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va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lui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envoyer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KsessionTGS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{timestamp,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service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joindre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TicketService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}. Le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TicketService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est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un ticket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transmettre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service pour assurer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connexion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avec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celui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-ci.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TicketService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=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Kservice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{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identité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sujet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date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d’expiration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}.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Remarque :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KsessionTGS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a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été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transmise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au </w:t>
      </w: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via le </w:t>
      </w: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TGT</w:t>
      </w:r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donc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manière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sécurisée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Ainsi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seuls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le </w:t>
      </w: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l’</w:t>
      </w: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AS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(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fournis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Ksession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)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connaissent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  <w:proofErr w:type="spellStart"/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Cette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communication ne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pourra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toujours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pas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être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lue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par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personne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externe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au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procédé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.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>
        <w:rPr>
          <w:rFonts w:ascii="Open Sans" w:eastAsia="Times New Roman" w:hAnsi="Open Sans" w:cs="Open Sans"/>
          <w:noProof/>
          <w:color w:val="F58233"/>
          <w:sz w:val="21"/>
          <w:szCs w:val="21"/>
          <w:lang w:eastAsia="fr-FR"/>
        </w:rPr>
        <w:drawing>
          <wp:inline distT="0" distB="0" distL="0" distR="0">
            <wp:extent cx="5716905" cy="4102735"/>
            <wp:effectExtent l="0" t="0" r="0" b="0"/>
            <wp:docPr id="4" name="Image 4" descr="Kerberos shéma résumé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rberos shéma résumé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[5]      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sujet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déchiffre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réponse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du </w:t>
      </w:r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transmet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ensuite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TicketService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 service pour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initialiser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connexion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TicketService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=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Kservice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{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identité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sujet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date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d’expiration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}.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lastRenderedPageBreak/>
        <w:t>Remarque :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TicketService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est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chiffré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avec </w:t>
      </w:r>
      <w:proofErr w:type="spellStart"/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Kservice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secrète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connue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uniquement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du service et du </w:t>
      </w:r>
      <w:r w:rsidRPr="003E1E18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lang w:val="en-US" w:eastAsia="fr-FR"/>
        </w:rPr>
        <w:t>TGS</w:t>
      </w:r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  <w:proofErr w:type="spellStart"/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L’utilisateur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ne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peut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donc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pas lire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ou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modifier son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contenue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.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>
        <w:rPr>
          <w:rFonts w:ascii="Open Sans" w:eastAsia="Times New Roman" w:hAnsi="Open Sans" w:cs="Open Sans"/>
          <w:noProof/>
          <w:color w:val="F58233"/>
          <w:sz w:val="21"/>
          <w:szCs w:val="21"/>
          <w:lang w:eastAsia="fr-FR"/>
        </w:rPr>
        <w:drawing>
          <wp:inline distT="0" distB="0" distL="0" distR="0">
            <wp:extent cx="5716905" cy="6488430"/>
            <wp:effectExtent l="0" t="0" r="0" b="7620"/>
            <wp:docPr id="3" name="Image 3" descr="Kerberos shéma résumé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rberos shéma résumé 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[6]       Le service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déchiffre</w:t>
      </w:r>
      <w:proofErr w:type="spellEnd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TicketService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récupère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renvoie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val="en-US" w:eastAsia="fr-FR"/>
        </w:rPr>
        <w:t>Ksession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{timestamp}.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>
        <w:rPr>
          <w:rFonts w:ascii="Open Sans" w:eastAsia="Times New Roman" w:hAnsi="Open Sans" w:cs="Open Sans"/>
          <w:noProof/>
          <w:color w:val="F58233"/>
          <w:sz w:val="21"/>
          <w:szCs w:val="21"/>
          <w:lang w:eastAsia="fr-FR"/>
        </w:rPr>
        <w:lastRenderedPageBreak/>
        <w:drawing>
          <wp:inline distT="0" distB="0" distL="0" distR="0">
            <wp:extent cx="5716905" cy="2846705"/>
            <wp:effectExtent l="0" t="0" r="0" b="0"/>
            <wp:docPr id="2" name="Image 2" descr="Kerberos shéma résumé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rberos shéma résumé 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[7]     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sujet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déchiffre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timestamp,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vérifie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que le temps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écoulé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entre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l’envoi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et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réception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réponse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n’est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pas trop long.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Ksession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{timestamp}.</w:t>
      </w:r>
      <w:proofErr w:type="gramEnd"/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Remarque :</w:t>
      </w:r>
      <w:proofErr w:type="gram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L’utilisation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de timestamp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permet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s’assurer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que les parties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connaissent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la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clé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et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d’éviter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qu’une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personne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mal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intentionnée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rejoue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une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séquence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d’accès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>intercepté</w:t>
      </w:r>
      <w:proofErr w:type="spellEnd"/>
      <w:r w:rsidRPr="003E1E1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val="en-US" w:eastAsia="fr-FR"/>
        </w:rPr>
        <w:t xml:space="preserve">. </w:t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>
        <w:rPr>
          <w:rFonts w:ascii="Open Sans" w:eastAsia="Times New Roman" w:hAnsi="Open Sans" w:cs="Open Sans"/>
          <w:noProof/>
          <w:color w:val="F58233"/>
          <w:sz w:val="21"/>
          <w:szCs w:val="21"/>
          <w:lang w:eastAsia="fr-FR"/>
        </w:rPr>
        <w:drawing>
          <wp:inline distT="0" distB="0" distL="0" distR="0">
            <wp:extent cx="5716905" cy="3569970"/>
            <wp:effectExtent l="0" t="0" r="0" b="0"/>
            <wp:docPr id="1" name="Image 1" descr="kerberos shém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erberos shém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18" w:rsidRPr="003E1E18" w:rsidRDefault="003E1E18" w:rsidP="003E1E18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</w:pPr>
      <w:r w:rsidRPr="003E1E18"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  <w:t xml:space="preserve">Les </w:t>
      </w:r>
      <w:proofErr w:type="spellStart"/>
      <w:r w:rsidRPr="003E1E18"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  <w:t>inconvénients</w:t>
      </w:r>
      <w:proofErr w:type="spellEnd"/>
      <w:r w:rsidRPr="003E1E18">
        <w:rPr>
          <w:rFonts w:ascii="Open Sans" w:eastAsia="Times New Roman" w:hAnsi="Open Sans" w:cs="Open Sans"/>
          <w:color w:val="333333"/>
          <w:sz w:val="39"/>
          <w:szCs w:val="39"/>
          <w:lang w:val="en-US" w:eastAsia="fr-FR"/>
        </w:rPr>
        <w:t xml:space="preserve"> de Kerberos</w:t>
      </w:r>
    </w:p>
    <w:p w:rsidR="003E1E18" w:rsidRPr="003E1E18" w:rsidRDefault="003E1E18" w:rsidP="003E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lastRenderedPageBreak/>
        <w:t>Tous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services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doivent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être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« 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Kerberisé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 »,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c’est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-à-dire compatible avec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protocole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Kerberos. Les services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doivent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être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capables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comprendre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système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ticket,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sinon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aucune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ne sera possible.</w:t>
      </w:r>
    </w:p>
    <w:p w:rsidR="003E1E18" w:rsidRPr="003E1E18" w:rsidRDefault="003E1E18" w:rsidP="003E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faut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que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toutes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machines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soient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synchronisées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sinon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l’utilisation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des timestamp et la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durée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vie des tickets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risquent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d’être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faussées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et plus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aucune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ne sera possible.</w:t>
      </w:r>
    </w:p>
    <w:p w:rsidR="003E1E18" w:rsidRPr="003E1E18" w:rsidRDefault="003E1E18" w:rsidP="003E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Kerberos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introduit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</w:t>
      </w:r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SPOF (Single Point Of Failure)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dans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Si le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serveur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Kerberos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tombe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n’y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aura plus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aucun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accès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aux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différents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services du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réseau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. La machine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serveur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Kerberos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doit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être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parfaitement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sure.</w:t>
      </w:r>
    </w:p>
    <w:p w:rsidR="003E1E18" w:rsidRPr="003E1E18" w:rsidRDefault="003E1E18" w:rsidP="003E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Si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l’AS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kerberos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est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compromis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un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attaquant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pourra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accéder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à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tous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les services avec un unique login.</w:t>
      </w:r>
    </w:p>
    <w:p w:rsidR="003E1E18" w:rsidRPr="003E1E18" w:rsidRDefault="003E1E18" w:rsidP="003E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</w:pPr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Kerberos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chiffre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uniquement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la phase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d’authentification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, </w:t>
      </w:r>
      <w:proofErr w:type="spellStart"/>
      <w:proofErr w:type="gram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il</w:t>
      </w:r>
      <w:proofErr w:type="spellEnd"/>
      <w:proofErr w:type="gram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ne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chiffre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pas les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données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qui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seront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transmises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</w:t>
      </w:r>
      <w:proofErr w:type="spellStart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>lors</w:t>
      </w:r>
      <w:proofErr w:type="spellEnd"/>
      <w:r w:rsidRPr="003E1E18">
        <w:rPr>
          <w:rFonts w:ascii="Open Sans" w:eastAsia="Times New Roman" w:hAnsi="Open Sans" w:cs="Open Sans"/>
          <w:color w:val="666666"/>
          <w:sz w:val="21"/>
          <w:szCs w:val="21"/>
          <w:lang w:val="en-US" w:eastAsia="fr-FR"/>
        </w:rPr>
        <w:t xml:space="preserve"> de la session.</w:t>
      </w:r>
    </w:p>
    <w:p w:rsidR="00B14CBB" w:rsidRDefault="00B14CBB">
      <w:bookmarkStart w:id="0" w:name="_GoBack"/>
      <w:bookmarkEnd w:id="0"/>
    </w:p>
    <w:sectPr w:rsidR="00B1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27"/>
    <w:multiLevelType w:val="multilevel"/>
    <w:tmpl w:val="5F8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4F5B20"/>
    <w:multiLevelType w:val="multilevel"/>
    <w:tmpl w:val="5910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610E5C"/>
    <w:multiLevelType w:val="multilevel"/>
    <w:tmpl w:val="113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18"/>
    <w:rsid w:val="003E1E18"/>
    <w:rsid w:val="00B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E1E18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color w:val="333333"/>
      <w:sz w:val="39"/>
      <w:szCs w:val="39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E1E18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1E18"/>
    <w:rPr>
      <w:rFonts w:ascii="Times New Roman" w:eastAsia="Times New Roman" w:hAnsi="Times New Roman" w:cs="Times New Roman"/>
      <w:color w:val="333333"/>
      <w:sz w:val="39"/>
      <w:szCs w:val="39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E1E18"/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E1E18"/>
    <w:rPr>
      <w:strike w:val="0"/>
      <w:dstrike w:val="0"/>
      <w:color w:val="F58233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3E1E18"/>
    <w:rPr>
      <w:i/>
      <w:iCs/>
    </w:rPr>
  </w:style>
  <w:style w:type="character" w:styleId="lev">
    <w:name w:val="Strong"/>
    <w:basedOn w:val="Policepardfaut"/>
    <w:uiPriority w:val="22"/>
    <w:qFormat/>
    <w:rsid w:val="003E1E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E1E18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color w:val="333333"/>
      <w:sz w:val="39"/>
      <w:szCs w:val="39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E1E18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1E18"/>
    <w:rPr>
      <w:rFonts w:ascii="Times New Roman" w:eastAsia="Times New Roman" w:hAnsi="Times New Roman" w:cs="Times New Roman"/>
      <w:color w:val="333333"/>
      <w:sz w:val="39"/>
      <w:szCs w:val="39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E1E18"/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E1E18"/>
    <w:rPr>
      <w:strike w:val="0"/>
      <w:dstrike w:val="0"/>
      <w:color w:val="F58233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3E1E18"/>
    <w:rPr>
      <w:i/>
      <w:iCs/>
    </w:rPr>
  </w:style>
  <w:style w:type="character" w:styleId="lev">
    <w:name w:val="Strong"/>
    <w:basedOn w:val="Policepardfaut"/>
    <w:uiPriority w:val="22"/>
    <w:qFormat/>
    <w:rsid w:val="003E1E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68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5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evensys.com/wordpress/wp-content/uploads/2014/12/Kerberos-sh&#233;ma-r&#233;sum&#233;-4.jp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www.devensys.com/wordpress/wp-content/uploads/2014/12/kerberos-sh&#233;ma.png" TargetMode="External"/><Relationship Id="rId7" Type="http://schemas.openxmlformats.org/officeDocument/2006/relationships/hyperlink" Target="http://www.devensys.com/blog/ssokesako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devensys.com/wordpress/wp-content/uploads/2014/12/Kerberos-sh&#233;ma-r&#233;sum&#233;-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devensys.com/blog/aaa-authentication-authorization-accounting" TargetMode="External"/><Relationship Id="rId11" Type="http://schemas.openxmlformats.org/officeDocument/2006/relationships/hyperlink" Target="http://www.devensys.com/wordpress/wp-content/uploads/2014/12/Kerberos-sh&#233;ma-r&#233;sum&#233;-3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evensys.com/wordpress/wp-content/uploads/2014/12/Kerberos-sh&#233;ma-r&#233;sum&#233;-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devensys.com/wordpress/wp-content/uploads/2014/12/Kerberos-sh&#233;ma-r&#233;sum&#233;-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ensys.com/wordpress/wp-content/uploads/2014/12/Kerberos-sh&#233;ma-r&#233;sum&#233;-2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1497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2017-03-15T11:11:00Z</dcterms:created>
  <dcterms:modified xsi:type="dcterms:W3CDTF">2017-03-15T11:12:00Z</dcterms:modified>
</cp:coreProperties>
</file>